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浑源县教育科技局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第一部分：浑源县教育科技局概况</w:t>
      </w:r>
    </w:p>
    <w:p>
      <w:pPr>
        <w:numPr>
          <w:ilvl w:val="0"/>
          <w:numId w:val="1"/>
        </w:numPr>
        <w:ind w:left="210" w:leftChars="0" w:firstLine="420" w:firstLineChars="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r>
        <w:rPr>
          <w:rFonts w:hint="eastAsia" w:ascii="仿宋" w:hAnsi="仿宋" w:eastAsia="仿宋" w:cs="仿宋"/>
          <w:color w:val="000000" w:themeColor="text1"/>
          <w:kern w:val="0"/>
          <w:sz w:val="32"/>
          <w:szCs w:val="32"/>
          <w:lang w:eastAsia="zh-CN"/>
          <w14:textFill>
            <w14:solidFill>
              <w14:schemeClr w14:val="tx1"/>
            </w14:solidFill>
          </w14:textFill>
        </w:rPr>
        <w:t>：</w:t>
      </w:r>
    </w:p>
    <w:p>
      <w:pPr>
        <w:numPr>
          <w:ilvl w:val="0"/>
          <w:numId w:val="2"/>
        </w:numPr>
        <w:ind w:left="630" w:left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组织实施国家有关教育的法律、法规和上级教育行</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政部门的各项方针、政策，拟定全县教育事业发展规划和年度计划并指导实施；组织开展教育行政执法。</w:t>
      </w:r>
    </w:p>
    <w:p>
      <w:pPr>
        <w:numPr>
          <w:ilvl w:val="0"/>
          <w:numId w:val="2"/>
        </w:numPr>
        <w:ind w:left="63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综合管理全县的基础教育、高中教育、职业教育、</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成人教育、民办教育、学前教育、特殊教育等工作；负责推进义务教育均衡发展和促进教育公平；负责加强民办教育的规划、协调和管理，规范办学秩序，促进民办教育事业健康发展。</w:t>
      </w:r>
    </w:p>
    <w:p>
      <w:pPr>
        <w:numPr>
          <w:ilvl w:val="0"/>
          <w:numId w:val="2"/>
        </w:numPr>
        <w:ind w:left="63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负责对全县各级各类学校进行督导评估；负责全县</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“两基”巩固提高工作。</w:t>
      </w:r>
    </w:p>
    <w:p>
      <w:pPr>
        <w:numPr>
          <w:ilvl w:val="0"/>
          <w:numId w:val="2"/>
        </w:numPr>
        <w:ind w:left="63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主管全县各级各类学校的教育教学工作，指导开展</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素质教育工作；按照课程标准要求，对中小学生进行基础知识和基本技能教育，指导基础教育发展水平、质量的监测工作。</w:t>
      </w:r>
    </w:p>
    <w:p>
      <w:pPr>
        <w:numPr>
          <w:ilvl w:val="0"/>
          <w:numId w:val="2"/>
        </w:numPr>
        <w:ind w:left="63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指导全县各级各类学校的思想政治工作、德育工作、</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体育卫生与艺术教育工作和国防教育工作；指导中小学校外教育工作。</w:t>
      </w:r>
    </w:p>
    <w:p>
      <w:pPr>
        <w:numPr>
          <w:ilvl w:val="0"/>
          <w:numId w:val="2"/>
        </w:numPr>
        <w:ind w:left="63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主管全县教师工作，指导教育系统人才队伍建设。</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负责全县教师的调配管理和档案保管工作；负责全县初中、小学、幼儿教师的教师资格认定工作。</w:t>
      </w:r>
    </w:p>
    <w:p>
      <w:pPr>
        <w:numPr>
          <w:ilvl w:val="0"/>
          <w:numId w:val="2"/>
        </w:numPr>
        <w:ind w:left="630" w:leftChars="0"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负责贯彻落实国家语言文字工作的方针、政策；指</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导推广普通话工作。</w:t>
      </w:r>
    </w:p>
    <w:p>
      <w:pPr>
        <w:numPr>
          <w:ilvl w:val="0"/>
          <w:numId w:val="0"/>
        </w:numPr>
        <w:ind w:left="630" w:left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8、</w:t>
      </w:r>
      <w:r>
        <w:rPr>
          <w:rFonts w:hint="eastAsia" w:ascii="仿宋" w:hAnsi="仿宋" w:eastAsia="仿宋" w:cs="仿宋"/>
          <w:color w:val="000000" w:themeColor="text1"/>
          <w:kern w:val="0"/>
          <w:sz w:val="32"/>
          <w:szCs w:val="32"/>
          <w14:textFill>
            <w14:solidFill>
              <w14:schemeClr w14:val="tx1"/>
            </w14:solidFill>
          </w14:textFill>
        </w:rPr>
        <w:t>负责全县高考、中考的组织实施和招生工作。</w:t>
      </w:r>
    </w:p>
    <w:p>
      <w:pPr>
        <w:numPr>
          <w:ilvl w:val="0"/>
          <w:numId w:val="0"/>
        </w:numPr>
        <w:ind w:left="630" w:left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9、</w:t>
      </w:r>
      <w:r>
        <w:rPr>
          <w:rFonts w:hint="eastAsia" w:ascii="仿宋" w:hAnsi="仿宋" w:eastAsia="仿宋" w:cs="仿宋"/>
          <w:color w:val="000000" w:themeColor="text1"/>
          <w:kern w:val="0"/>
          <w:sz w:val="32"/>
          <w:szCs w:val="32"/>
          <w14:textFill>
            <w14:solidFill>
              <w14:schemeClr w14:val="tx1"/>
            </w14:solidFill>
          </w14:textFill>
        </w:rPr>
        <w:t>负责规划指导全县学校基本建设；负责中小学危房</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改造及多渠道筹措教育经费工作；研究拟定全县中小学校布局调整的规划，并负责组织实施。</w:t>
      </w:r>
    </w:p>
    <w:p>
      <w:pPr>
        <w:numPr>
          <w:ilvl w:val="0"/>
          <w:numId w:val="0"/>
        </w:numPr>
        <w:ind w:left="630" w:left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10、</w:t>
      </w:r>
      <w:r>
        <w:rPr>
          <w:rFonts w:hint="eastAsia" w:ascii="仿宋" w:hAnsi="仿宋" w:eastAsia="仿宋" w:cs="仿宋"/>
          <w:color w:val="000000" w:themeColor="text1"/>
          <w:kern w:val="0"/>
          <w:sz w:val="32"/>
          <w:szCs w:val="32"/>
          <w14:textFill>
            <w14:solidFill>
              <w14:schemeClr w14:val="tx1"/>
            </w14:solidFill>
          </w14:textFill>
        </w:rPr>
        <w:t>指导监督本系统教育经费使用。</w:t>
      </w:r>
    </w:p>
    <w:p>
      <w:pPr>
        <w:numPr>
          <w:ilvl w:val="0"/>
          <w:numId w:val="0"/>
        </w:numPr>
        <w:ind w:left="630" w:leftChars="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11、</w:t>
      </w:r>
      <w:r>
        <w:rPr>
          <w:rFonts w:hint="eastAsia" w:ascii="仿宋" w:hAnsi="仿宋" w:eastAsia="仿宋" w:cs="仿宋"/>
          <w:color w:val="000000" w:themeColor="text1"/>
          <w:kern w:val="0"/>
          <w:sz w:val="32"/>
          <w:szCs w:val="32"/>
          <w14:textFill>
            <w14:solidFill>
              <w14:schemeClr w14:val="tx1"/>
            </w14:solidFill>
          </w14:textFill>
        </w:rPr>
        <w:t>负责全县教育基本信息的统计、分析和发布。</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r>
        <w:rPr>
          <w:rFonts w:hint="eastAsia" w:ascii="仿宋" w:hAnsi="仿宋" w:eastAsia="仿宋" w:cs="仿宋"/>
          <w:color w:val="000000" w:themeColor="text1"/>
          <w:kern w:val="0"/>
          <w:sz w:val="32"/>
          <w:szCs w:val="32"/>
          <w:lang w:eastAsia="zh-CN"/>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1、行政办公室</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2、人事办公室</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3、基础教育办公室</w:t>
      </w:r>
    </w:p>
    <w:p>
      <w:pPr>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4、财务办公室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附件：大同市浑源县教育科技局-2021年度部门决算公开报表.xls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6005.84万元，上年度总收入为5388.42万元，增减11.46 %。其中：一般公共预算财政拨款本年度收入为5331.12万元，上年度收入为5306.47万元，增减0.46 %；政府性基金预算财政拨款本年度收入为0万元，上年度收入为0万元，增减0 %；事业收入本年度收入为0万元，上年度收入为0万元，增减0 %；其他收入本年度收入为674.73万元，上年度收入为81.95万元，增减723.29%。</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5841.42万元，上年度总支出为5307.6万元，增减10.06%。其中：基本支出本年度支出为1252.29万元，上年度支出为931.37万元，增减34.46 %；项目支出本年度支出为4589.13万元，上年度支出为4376.23万元，增减4.86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本单位本年度机关运行经费总支出为52.88万元，上年度支出为49.53万元，增减6.75 %；主要为日常办公费、水电、差旅、印刷、委托业务费等费用。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本单位本年度政府采购总价为1296.91万元，其中：货物采购1256.56万元，工程采购0万元，服务采购40.35万元。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我单位产权房屋面积为2013平方米，价值61万元。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1724.88</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40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2021年城乡义务教育补助经费中央及省级资金(学生营养餐）</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1082.18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1082.18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2021年义务教育薄弱环节改善与能力提升中央补助资金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399.63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399.63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2021年城乡义务教育补助经费中央及省级资金(校舍维修）</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243.07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243.07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浑源县教育科技局</w:t>
      </w:r>
    </w:p>
    <w:p>
      <w:pPr>
        <w:ind w:left="4469" w:leftChars="2128" w:firstLine="0" w:firstLineChars="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浑源县第三中学校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第一部分：浑源县第三中学校概况</w:t>
      </w:r>
    </w:p>
    <w:p>
      <w:pPr>
        <w:numPr>
          <w:ilvl w:val="0"/>
          <w:numId w:val="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4"/>
        </w:numPr>
        <w:ind w:left="958" w:leftChars="304" w:hanging="320" w:hanging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rPr>
        <w:t>实施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3"/>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附件：大同市浑源县第三中学校-2021年度部门决算公开报表.xls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2933.94万元，上年度总收入为2700.17万元，增减8.66 %。其中：一般公共预算财政拨款本年度收入为2933.94万元，上年度收入为2700.17万元，增减8.66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2933.94万元，上年度总支出为2700.27万元，增减8.65%。其中：基本支出本年度支出为2812.09万元，上年度支出为2655.41万元，增减5.9 %；项目支出本年度支出为121.85万元，上年度支出为44.85万元，增减171.66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我单位产权房屋面积为8956平方米，价值1581.67万元。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102.29</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83</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44.69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44.69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54.63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54.63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2021年特殊教育中央补助资金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2.97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2.97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800" w:hanging="4800" w:hangingChars="15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浑源县第三中学校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浑源县示范中学校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第一部分：浑源县示范中学校概况</w:t>
      </w:r>
    </w:p>
    <w:p>
      <w:pPr>
        <w:numPr>
          <w:ilvl w:val="0"/>
          <w:numId w:val="5"/>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5"/>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ascii="仿宋" w:hAnsi="仿宋" w:eastAsia="仿宋" w:cs="仿宋"/>
          <w:sz w:val="32"/>
          <w:szCs w:val="32"/>
          <w:lang w:val="en"/>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附件：大同市浑源县示范中学校-2021年度部门决算公开报表.xls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2972.15万元，上年度总收入为2667.99万元，增减11.4 %。其中：一般公共预算财政拨款本年度收入为2972.15万元，上年度收入为2667.99万元，增减11.4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2973.3万元，上年度总支出为2666.35万元，增减11.51%。其中：基本支出本年度支出为2834.79万元，上年度支出为2630.09万元，增减7.78 %；项目支出本年度支出为138.51万元，上年度支出为36.26万元，增减282.03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我单位产权房屋面积为10400平方米，价值1964.79万元。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126.97</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39.56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39.56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57.41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57.41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解决示范中学涉访维稳资金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浑源县示范中学校</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浑源县第五中学校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第一部分：浑源县第五中学校概况</w:t>
      </w:r>
    </w:p>
    <w:p>
      <w:pPr>
        <w:numPr>
          <w:ilvl w:val="0"/>
          <w:numId w:val="6"/>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实施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6"/>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附件：大同市浑源县第五中学校-2021年度部门决算公开报表.xls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2333.75万元，上年度总收入为2219.47万元，增减5.15 %。其中：一般公共预算财政拨款本年度收入为2333.75万元，上年度收入为2219.47万元，增减5.15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2333.75万元，上年度总支出为2219.57万元，增减5.14%。其中：基本支出本年度支出为2257.31万元，上年度支出为2158.07万元，增减4.6 %；项目支出本年度支出为76.44万元，上年度支出为61.5万元，增减24.29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我单位产权房屋面积为7282平方米，价值312.06万元。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2</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76.44</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95</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2021年普通高中国家助学金中央补助经费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59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2021年普通高中免学杂费中央补助经费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17.44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17.44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firstLine="3840" w:firstLineChars="1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浑源县第五中学校</w:t>
      </w:r>
    </w:p>
    <w:p>
      <w:pPr>
        <w:ind w:firstLine="3840" w:firstLineChars="12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浑源县穆岳小学</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第一部分：浑源县穆岳小学概况</w:t>
      </w:r>
    </w:p>
    <w:p>
      <w:pPr>
        <w:numPr>
          <w:ilvl w:val="0"/>
          <w:numId w:val="7"/>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7"/>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附件：大同市浑源县穆岳小学-2021年度部门决算公开报表.xls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1397.59万元，上年度总收入为1269.31万元，增减10.11 %。其中：一般公共预算财政拨款本年度收入为1383.29万元，上年度收入为1258.19万元，增减9.94 %；政府性基金预算财政拨款本年度收入为1.5万元，上年度收入为5万元，增减-70 %；事业收入本年度收入为12.8万元，上年度收入为6.12万元，增减109.16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1399.05万元，上年度总支出为1267.93万元，增减10.34%。其中：基本支出本年度支出为1377.48万元，上年度支出为1257.94万元，增减9.5 %；项目支出本年度支出为21.57万元，上年度支出为9.99万元，增减115.81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我单位产权房屋面积为2000平方米，价值26万元。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20.07</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95</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3.45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3.45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15.87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15.87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学前幼儿资助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0.75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0.75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浑源县穆岳小学</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浑源县永安镇中心学校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第一部分：浑源县永安镇中心学校概况</w:t>
      </w:r>
    </w:p>
    <w:p>
      <w:pPr>
        <w:numPr>
          <w:ilvl w:val="0"/>
          <w:numId w:val="8"/>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8"/>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附件：大同市浑源县永安镇中心学校-2021年度部门决算公开报表.xls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12670.91万元，上年度总收入为10536.39万元，增减20.26 %。其中：一般公共预算财政拨款本年度收入为12196.15万元，上年度收入为10361.02万元，增减17.71 %；政府性基金预算财政拨款本年度收入为0万元，上年度收入为24.96万元，增减-100 %；事业收入本年度收入为474.76万元，上年度收入为150.4万元，增减215.65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12618.17万元，上年度总支出为10536.68万元，增减19.75%。其中：基本支出本年度支出为11520.11万元，上年度支出为9886.04万元，增减16.53 %；项目支出本年度支出为1098.05万元，上年度支出为650.64万元，增减68.77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我单位产权房屋面积为3400平方米，价值38万元。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480.56</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43</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139.61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139.61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135.86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135.86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2021年中职免学费补助资金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205.09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205.09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浑源县永安镇中心学校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浑源县沙圪坨镇中心学校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第一部分：浑源县沙圪坨镇中心学校概况</w:t>
      </w:r>
    </w:p>
    <w:p>
      <w:pPr>
        <w:numPr>
          <w:ilvl w:val="0"/>
          <w:numId w:val="9"/>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9"/>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附件：大同市浑源县沙圪坨镇中心学校-2021年度部门决算公开报表.xls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1615.89万元，上年度总收入为1391.06万元，增减16.16 %。其中：一般公共预算财政拨款本年度收入为1588.33万元，上年度收入为1378.97万元，增减15.18 %；政府性基金预算财政拨款本年度收入为1.5万元，上年度收入为3.1万元，增减-51.61 %；事业收入本年度收入为26.06万元，上年度收入为8.99万元，增减189.87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1615.89万元，上年度总支出为1391.36万元，增减16.14%。其中：基本支出本年度支出为1478.75万元，上年度支出为1342.7万元，增减10.13 %；项目支出本年度支出为137.14万元，上年度支出为48.66万元，增减181.83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我单位产权房屋面积为5000平方米，价值56万元。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56.69</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42</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7.35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7.35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3.38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3.38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2021年支持学前发展中央补助和学前建设与资助省级配套资金（省级资金）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45.96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45.96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浑源县沙圪坨镇中心学校</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浑源县大仁庄乡中心学校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第一部分：浑源县大仁庄乡中心学校概况</w:t>
      </w:r>
    </w:p>
    <w:p>
      <w:pPr>
        <w:numPr>
          <w:ilvl w:val="0"/>
          <w:numId w:val="1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0"/>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附件：大同市浑源县大仁庄乡中心学校-2021年度部门决算公开报表.xls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368.37万元，上年度总收入为378.82万元，增减-2.76 %。其中：一般公共预算财政拨款本年度收入为368.37万元，上年度收入为378.82万元，增减-2.76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368.37万元，上年度总支出为378.9万元，增减-2.78%。其中：基本支出本年度支出为357.45万元，上年度支出为364.16万元，增减-1.84 %；项目支出本年度支出为10.92万元，上年度支出为14.73万元，增减-25.87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我单位产权房屋面积为1940平方米，价值40万元。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10.48</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95</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1.03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1.03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0.36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0.36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9.09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9.09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浑源县大仁庄乡中心学校</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浑源县黄花滩乡中心学校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第一部分：浑源县黄花滩乡中心学校概况</w:t>
      </w:r>
    </w:p>
    <w:p>
      <w:pPr>
        <w:numPr>
          <w:ilvl w:val="0"/>
          <w:numId w:val="1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附件：大同市浑源县黄花滩乡中心学校-2021年度部门决算公开报表.xls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663.36万元，上年度总收入为584.8万元，增减13.43 %。其中：一般公共预算财政拨款本年度收入为663.36万元，上年度收入为584.8万元，增减13.43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663.36万元，上年度总支出为584.9万元，增减13.41%。其中：基本支出本年度支出为614.36万元，上年度支出为551.64万元，增减11.37 %；项目支出本年度支出为48.99万元，上年度支出为33.27万元，增减47.27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我单位产权房屋面积为4000平方米，价值53万元。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36.56</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74</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22.81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22.81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0.54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0.54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13.21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13.21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3520" w:hanging="3520" w:hangingChars="11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浑源县黄花滩乡中心学校</w:t>
      </w:r>
    </w:p>
    <w:p>
      <w:pPr>
        <w:ind w:firstLine="3840" w:firstLineChars="12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浑源县大磁窑镇中心学校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第一部分：浑源县大磁窑镇中心学校概况</w:t>
      </w:r>
    </w:p>
    <w:p>
      <w:pPr>
        <w:numPr>
          <w:ilvl w:val="0"/>
          <w:numId w:val="1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2"/>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附件：大同市浑源县大磁窑镇中心学校-2021年度部门决算公开报表.xls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604.71万元，上年度总收入为543万元，增减11.36 %。其中：一般公共预算财政拨款本年度收入为588.55万元，上年度收入为542.64万元，增减8.46 %；政府性基金预算财政拨款本年度收入为15万元，上年度收入为0万元，增减0 %；事业收入本年度收入为1.16万元，上年度收入为0.36万元，增减222.22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604.39万元，上年度总支出为543.1万元，增减11.28%。其中：基本支出本年度支出为577.72万元，上年度支出为534.14万元，增减8.16 %；项目支出本年度支出为26.67万元，上年度支出为8.96万元，增减197.62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我单位产权房屋面积为1800平方米，价值26万元。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11.23</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96</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0.78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0.78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0.84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0.84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9.61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9.61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3840" w:hanging="3840" w:hangingChars="1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浑源县大磁窑镇中心学校</w:t>
      </w:r>
    </w:p>
    <w:p>
      <w:pPr>
        <w:ind w:firstLine="4160" w:firstLineChars="13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浑源县青磁窑乡中心学校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第一部分：浑源县青磁窑乡中心学校概况</w:t>
      </w:r>
    </w:p>
    <w:p>
      <w:pPr>
        <w:numPr>
          <w:ilvl w:val="0"/>
          <w:numId w:val="1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3"/>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附件：大同市浑源县青磁窑乡中心学校-2021年度部门决算公开报表.xls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534.82万元，上年度总收入为494.68万元，增减8.11 %。其中：一般公共预算财政拨款本年度收入为534.82万元，上年度收入为494.68万元，增减8.11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534.82万元，上年度总支出为494.73万元，增减8.1%。其中：基本支出本年度支出为519.62万元，上年度支出为478.91万元，增减8.5 %；项目支出本年度支出为15.19万元，上年度支出为15.82万元，增减-3.98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我单位产权房屋面积为2000平方米，价值23万元。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15.02</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98</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0.75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0.75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0.66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0.66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13.61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13.61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浑源县青磁窑乡中心学校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浑源县千佛岭乡中心学校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第一部分：浑源县千佛岭乡中心学校概况</w:t>
      </w:r>
    </w:p>
    <w:p>
      <w:pPr>
        <w:numPr>
          <w:ilvl w:val="0"/>
          <w:numId w:val="14"/>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4"/>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附件：大同市浑源县千佛岭乡中心学校-2021年度部门决算公开报表.xls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621.46万元，上年度总收入为537.89万元，增减15.54 %。其中：一般公共预算财政拨款本年度收入为621.46万元，上年度收入为537.89万元，增减15.54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621.46万元，上年度总支出为538.08万元，增减15.5%。其中：基本支出本年度支出为607.56万元，上年度支出为521.23万元，增减16.56 %；项目支出本年度支出为13.9万元，上年度支出为16.84万元，增减-17.49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我单位产权房屋面积为2370平方米，价值93万元。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13.57</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97</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0.96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0.96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0.66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0.66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11.95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11.95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3520" w:hanging="3520" w:hangingChars="11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浑源县千佛岭乡中心学校</w:t>
      </w:r>
    </w:p>
    <w:p>
      <w:pPr>
        <w:ind w:firstLine="4160" w:firstLineChars="13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浑源县王庄堡镇中心学校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第一部分：浑源县王庄堡镇中心学校概况</w:t>
      </w:r>
    </w:p>
    <w:p>
      <w:pPr>
        <w:numPr>
          <w:ilvl w:val="0"/>
          <w:numId w:val="15"/>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5"/>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附件：大同市浑源县王庄堡镇中心学校-2021年度部门决算公开报表.xls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1228.24万元，上年度总收入为1077.63万元，增减13.98 %。其中：一般公共预算财政拨款本年度收入为1212.06万元，上年度收入为1069.59万元，增减13.32 %；政府性基金预算财政拨款本年度收入为1.5万元，上年度收入为3万元，增减-50 %；事业收入本年度收入为14.68万元，上年度收入为5.04万元，增减191.27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1228.24万元，上年度总支出为1077.73万元，增减13.97%。其中：基本支出本年度支出为1122.56万元，上年度支出为1019.84万元，增减10.07 %；项目支出本年度支出为105.68万元，上年度支出为57.89万元，增减82.54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我单位产权房屋面积为2000平方米，价值41万元。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89.43</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85</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26.53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26.53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6.74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6.74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56.16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56.16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浑源县王庄堡镇中心学校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浑源县官儿乡中心学校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第一部分：浑源县官儿乡中心学校概况</w:t>
      </w:r>
    </w:p>
    <w:p>
      <w:pPr>
        <w:numPr>
          <w:ilvl w:val="0"/>
          <w:numId w:val="16"/>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6"/>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附件：大同市浑源县官儿乡中心学校-2021年度部门决算公开报表.xls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618.41万元，上年度总收入为532.9万元，增减16.05 %。其中：一般公共预算财政拨款本年度收入为618.41万元，上年度收入为532.9万元，增减16.05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618.41万元，上年度总支出为533.12万元，增减16%。其中：基本支出本年度支出为596.53万元，上年度支出为515.91万元，增减15.63 %；项目支出本年度支出为21.88万元，上年度支出为17.2万元，增减27.18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我单位产权房屋面积为1510平方米，价值20万元。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20.73</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94</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0.54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0.54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17.89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17.89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3520" w:hanging="3520" w:hangingChars="11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浑源县官儿乡中心学校</w:t>
      </w:r>
    </w:p>
    <w:p>
      <w:pPr>
        <w:ind w:firstLine="3840" w:firstLineChars="12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浑源县东坊城乡中心学校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第一部分：浑源县东坊城乡中心学校概况</w:t>
      </w:r>
    </w:p>
    <w:p>
      <w:pPr>
        <w:numPr>
          <w:ilvl w:val="0"/>
          <w:numId w:val="17"/>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7"/>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附件：大同市浑源县东坊城乡中心学校-2021年度部门决算公开报表.xls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2163.2万元，上年度总收入为1911.96万元，增减13.14 %。其中：一般公共预算财政拨款本年度收入为2144.53万元，上年度收入为1902.56万元，增减12.72 %；政府性基金预算财政拨款本年度收入为1.5万元，上年度收入为3.1万元，增减-51.6 %；事业收入本年度收入为17.17万元，上年度收入为6.3万元，增减172.48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2163.2万元，上年度总支出为1912.07万元，增减13.13%。其中：基本支出本年度支出为2088.5万元，上年度支出为1864.1万元，增减12.04 %；项目支出本年度支出为74.7万元，上年度支出为47.97万元，增减55.72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我单位产权房屋面积为7000平方米，价值88万元。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60.23</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82</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8.53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8.53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3.73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3.73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47.97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47.97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浑源县东坊城乡中心学校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浑源县裴村乡中心学校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第一部分：浑源县裴村乡中心学校概况</w:t>
      </w:r>
    </w:p>
    <w:p>
      <w:pPr>
        <w:numPr>
          <w:ilvl w:val="0"/>
          <w:numId w:val="18"/>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8"/>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附件：大同市浑源县裴村乡中心学校-2021年度部门决算公开报表.xls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1505.27万元，上年度总收入为1331.66万元，增减13.04 %。其中：一般公共预算财政拨款本年度收入为1492.05万元，上年度收入为1324.15万元，增减12.68 %；政府性基金预算财政拨款本年度收入为1.5万元，上年度收入为3.43万元，增减-56.22 %；事业收入本年度收入为11.72万元，上年度收入为4.08万元，增减187.21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1505.27万元，上年度总支出为1331.75万元，增减13.03%。其中：基本支出本年度支出为1440.08万元，上年度支出为1302.43万元，增减10.57 %；项目支出本年度支出为65.2万元，上年度支出为29.31万元，增减122.43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我单位产权房屋面积为1000平方米，价值15.1万元。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60.9</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95</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2.03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2.03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3.58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3.58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55.29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55.29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浑源县裴村乡中心学校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浑源县西坊城镇中心学校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第一部分：浑源县西坊城镇中心学校概况</w:t>
      </w:r>
    </w:p>
    <w:p>
      <w:pPr>
        <w:numPr>
          <w:ilvl w:val="0"/>
          <w:numId w:val="19"/>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19"/>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附件：大同市浑源县西坊城镇中心学校-2021年度部门决算公开报表.xls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1184.63万元，上年度总收入为1019.7万元，增减16.17 %。其中：一般公共预算财政拨款本年度收入为1165.89万元，上年度收入为1009.97万元，增减15.44 %；政府性基金预算财政拨款本年度收入为1.5万元，上年度收入为3.1万元，增减-51.61 %；事业收入本年度收入为17.24万元，上年度收入为6.63万元，增减160.1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1184.63万元，上年度总支出为1019.87万元，增减16.16%。其中：基本支出本年度支出为1090.16万元，上年度支出为974.05万元，增减11.92 %；项目支出本年度支出为94.48万元，上年度支出为45.82万元，增减106.2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我单位产权房屋面积为6499平方米，价值67万元。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79.75</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85</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22.83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22.83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13.57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13.57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43.35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43.35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800" w:hanging="4800" w:hangingChars="15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浑源县西坊城镇中心学校</w:t>
      </w:r>
    </w:p>
    <w:p>
      <w:pPr>
        <w:ind w:firstLine="5120" w:firstLine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浑源县驼峰乡中心学校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第一部分：浑源县驼峰乡中心学校概况</w:t>
      </w:r>
    </w:p>
    <w:p>
      <w:pPr>
        <w:numPr>
          <w:ilvl w:val="0"/>
          <w:numId w:val="2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20"/>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附件：大同市浑源县驼峰乡中心学校-2021年度部门决算公开报表.xls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986.85万元，上年度总收入为854.54万元，增减15.48 %。其中：一般公共预算财政拨款本年度收入为978.27万元，上年度收入为848.65万元，增减15.27 %；政府性基金预算财政拨款本年度收入为1.5万元，上年度收入为3.1万元，增减-51.61 %；事业收入本年度收入为7.08万元，上年度收入为2.79万元，增减153.76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986.85万元，上年度总支出为854.65万元，增减15.47%。其中：基本支出本年度支出为944.49万元，上年度支出为827万元，增减14.21 %；项目支出本年度支出为42.37万元，上年度支出为27.64万元，增减53.25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我单位产权房屋面积为2000平方米，价值25.8万元。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38.15</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93</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1.95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1.95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34.4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34.4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浑源县驼峰乡中心学校</w:t>
      </w:r>
    </w:p>
    <w:p>
      <w:pPr>
        <w:ind w:firstLine="5120" w:firstLine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浑源县西留乡中心学校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第一部分：浑源县西留乡中心学校概况</w:t>
      </w:r>
    </w:p>
    <w:p>
      <w:pPr>
        <w:numPr>
          <w:ilvl w:val="0"/>
          <w:numId w:val="2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2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附件：大同市浑源县西留乡中心学校-2021年度部门决算公开报表.xls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824.59万元，上年度总收入为676.99万元，增减21.8 %。其中：一般公共预算财政拨款本年度收入为816.49万元，上年度收入为671.85万元，增减21.53 %；政府性基金预算财政拨款本年度收入为1.5万元，上年度收入为3万元，增减-49.98 %；事业收入本年度收入为6.6万元，上年度收入为2.15万元，增减207.88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824.59万元，上年度总支出为677.04万元，增减21.79%。其中：基本支出本年度支出为795.19万元，上年度支出为657.03万元，增减21.03 %；项目支出本年度支出为29.4万元，上年度支出为20.01万元，增减46.9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我单位产权房屋面积为3468平方米，价值179.4万元。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26.14</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93</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23.36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23.36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800" w:hanging="4800" w:hangingChars="15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浑源县西留乡中心学校</w:t>
      </w:r>
    </w:p>
    <w:p>
      <w:pPr>
        <w:ind w:firstLine="5120" w:firstLine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浑源县南榆林乡中心学校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第一部分：浑源县南榆林乡中心学校概况</w:t>
      </w:r>
    </w:p>
    <w:p>
      <w:pPr>
        <w:numPr>
          <w:ilvl w:val="0"/>
          <w:numId w:val="2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22"/>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附件：大同市浑源县南榆林乡中心学校-2021年度部门决算公开报表.xls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1058.14万元，上年度总收入为956.7万元，增减10.6 %。其中：一般公共预算财政拨款本年度收入为1042.25万元，上年度收入为956.22万元，增减9 %；政府性基金预算财政拨款本年度收入为15万元，上年度收入为0万元，增减0 %；事业收入本年度收入为0.88万元，上年度收入为0.48万元，增减83.78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1058.14万元，上年度总支出为956.79万元，增减10.59%。其中：基本支出本年度支出为1000.57万元，上年度支出为930.78万元，增减7.5 %；项目支出本年度支出为57.56万元，上年度支出为26万元，增减121.38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我单位产权房屋面积为2000平方米，价值25.75万元。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40.99</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96</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2.65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2.65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1.49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1.49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36.85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36.85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浑源县南榆林乡中心学校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浑源县下韩乡中心学校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第一部分：浑源县下韩乡中心学校概况</w:t>
      </w:r>
    </w:p>
    <w:p>
      <w:pPr>
        <w:numPr>
          <w:ilvl w:val="0"/>
          <w:numId w:val="2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23"/>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附件：大同市浑源县下韩乡中心学校-2021年度部门决算公开报表.xls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1030.69万元，上年度总收入为986.12万元，增减4.52 %。其中：一般公共预算财政拨款本年度收入为1005.49万元，上年度收入为962.12万元，增减4.51 %；政府性基金预算财政拨款本年度收入为1.5万元，上年度收入为15万元，增减-90 %；事业收入本年度收入为23.7万元，上年度收入为9万元，增减163.33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1030.69万元，上年度总支出为986.18万元，增减4.51%。其中：基本支出本年度支出为999.96万元，上年度支出为951.24万元，增减5.12 %；项目支出本年度支出为30.73万元，上年度支出为34.94万元，增减-12.05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我单位产权房屋面积为2000平方米，价值24万元。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24.41</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83</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3.58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3.58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2.39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2.39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18.44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18.44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800" w:hanging="4800" w:hangingChars="15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浑源县下韩乡中心学校</w:t>
      </w:r>
    </w:p>
    <w:p>
      <w:pPr>
        <w:ind w:firstLine="5440" w:firstLineChars="17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浑源县蔡村镇中心学校</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第一部分：浑源县蔡村镇中心学校概况</w:t>
      </w:r>
    </w:p>
    <w:p>
      <w:pPr>
        <w:numPr>
          <w:ilvl w:val="0"/>
          <w:numId w:val="24"/>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24"/>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附件：大同市浑源县蔡村镇中心学校-2021年度部门决算公开报表.xls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1041.55万元，上年度总收入为899.27万元，增减15.82 %。其中：一般公共预算财政拨款本年度收入为1024.31万元，上年度收入为892.1万元，增减14.82 %；政府性基金预算财政拨款本年度收入为1.5万元，上年度收入为3万元，增减-50 %；事业收入本年度收入为15.73万元，上年度收入为4.17万元，增减277.34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1041.55万元，上年度总支出为899.28万元，增减15.82%。其中：基本支出本年度支出为982.82万元，上年度支出为868.79万元，增减13.12 %；项目支出本年度支出为58.73万元，上年度支出为30.49万元，增减92.62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我单位产权房屋面积为4000平方米，价值42.52万元。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50.5</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88</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12.66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12.66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6.28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6.28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color w:val="000000" w:themeColor="text1"/>
          <w:kern w:val="0"/>
          <w:sz w:val="32"/>
          <w:szCs w:val="32"/>
          <w:lang w:val="en" w:eastAsia="zh-CN"/>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31.56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31.56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5120" w:hanging="5120" w:hanging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浑源县蔡村镇中心学校2022年7月15日</w:t>
      </w:r>
    </w:p>
    <w:p>
      <w:pPr>
        <w:jc w:val="center"/>
        <w:rPr>
          <w:rFonts w:hint="eastAsia"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浑源县吴城乡中心学校</w:t>
      </w:r>
    </w:p>
    <w:p>
      <w:pPr>
        <w:jc w:val="center"/>
        <w:rPr>
          <w:rFonts w:ascii="黑体" w:hAnsi="黑体" w:eastAsia="黑体"/>
          <w:b/>
          <w:bCs/>
          <w:color w:val="000000" w:themeColor="text1"/>
          <w:sz w:val="36"/>
          <w:szCs w:val="36"/>
          <w14:textFill>
            <w14:solidFill>
              <w14:schemeClr w14:val="tx1"/>
            </w14:solidFill>
          </w14:textFill>
        </w:rPr>
      </w:pPr>
      <w:r>
        <w:rPr>
          <w:rFonts w:hint="eastAsia" w:ascii="黑体" w:hAnsi="黑体" w:eastAsia="黑体"/>
          <w:b/>
          <w:bCs/>
          <w:color w:val="000000" w:themeColor="text1"/>
          <w:sz w:val="36"/>
          <w:szCs w:val="36"/>
          <w14:textFill>
            <w14:solidFill>
              <w14:schemeClr w14:val="tx1"/>
            </w14:solidFill>
          </w14:textFill>
        </w:rPr>
        <w:t>202</w:t>
      </w:r>
      <w:r>
        <w:rPr>
          <w:rFonts w:ascii="黑体" w:hAnsi="黑体" w:eastAsia="黑体"/>
          <w:b/>
          <w:bCs/>
          <w:color w:val="000000" w:themeColor="text1"/>
          <w:sz w:val="36"/>
          <w:szCs w:val="36"/>
          <w14:textFill>
            <w14:solidFill>
              <w14:schemeClr w14:val="tx1"/>
            </w14:solidFill>
          </w14:textFill>
        </w:rPr>
        <w:t>1</w:t>
      </w:r>
      <w:r>
        <w:rPr>
          <w:rFonts w:hint="eastAsia" w:ascii="黑体" w:hAnsi="黑体" w:eastAsia="黑体"/>
          <w:b/>
          <w:bCs/>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第一部分：浑源县吴城乡中心学校概况</w:t>
      </w:r>
    </w:p>
    <w:p>
      <w:pPr>
        <w:numPr>
          <w:ilvl w:val="0"/>
          <w:numId w:val="25"/>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11"/>
        <w:widowControl w:val="0"/>
        <w:numPr>
          <w:ilvl w:val="0"/>
          <w:numId w:val="0"/>
        </w:numPr>
        <w:ind w:leftChars="204" w:firstLine="320" w:firstLineChars="100"/>
        <w:jc w:val="both"/>
        <w:rPr>
          <w:rFonts w:hint="eastAsia" w:ascii="仿宋" w:hAnsi="仿宋" w:eastAsia="仿宋" w:cs="仿宋"/>
          <w:i w:val="0"/>
          <w:iCs w:val="0"/>
          <w:caps w:val="0"/>
          <w:color w:val="auto"/>
          <w:spacing w:val="0"/>
          <w:sz w:val="32"/>
          <w:szCs w:val="32"/>
          <w:u w:val="none"/>
          <w:shd w:val="clear" w:fill="FFFFFF"/>
        </w:rPr>
      </w:pP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施</w:t>
      </w:r>
      <w:r>
        <w:rPr>
          <w:rFonts w:hint="eastAsia" w:ascii="仿宋" w:hAnsi="仿宋" w:eastAsia="仿宋" w:cs="仿宋"/>
          <w:i w:val="0"/>
          <w:iCs w:val="0"/>
          <w:caps w:val="0"/>
          <w:color w:val="auto"/>
          <w:spacing w:val="0"/>
          <w:sz w:val="32"/>
          <w:szCs w:val="32"/>
          <w:shd w:val="clear" w:fill="FFFFFF"/>
          <w:lang w:eastAsia="zh-CN"/>
        </w:rPr>
        <w:t>学校</w:t>
      </w:r>
      <w:r>
        <w:rPr>
          <w:rFonts w:hint="eastAsia" w:ascii="仿宋" w:hAnsi="仿宋" w:eastAsia="仿宋" w:cs="仿宋"/>
          <w:i w:val="0"/>
          <w:iCs w:val="0"/>
          <w:caps w:val="0"/>
          <w:color w:val="auto"/>
          <w:spacing w:val="0"/>
          <w:sz w:val="32"/>
          <w:szCs w:val="32"/>
          <w:shd w:val="clear" w:fill="FFFFFF"/>
        </w:rPr>
        <w:t>发展规划，拟订年度</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"http://www.so.com/s?q=%E5%B7%A5%E4%BD%9C%E8%AE%A1%E5%88%92&amp;ie=utf-8&amp;src=internal_wenda_recommend_textn"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工作计划</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"http://www.so.com/s?q=%E8%B4%A2%E5%8A%A1%E9%A2%84%E7%AE%97&amp;ie=utf-8&amp;src=internal_wenda_recommend_textn"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财务预算</w:t>
      </w:r>
      <w:r>
        <w:rPr>
          <w:rFonts w:hint="eastAsia" w:ascii="仿宋" w:hAnsi="仿宋" w:eastAsia="仿宋" w:cs="仿宋"/>
          <w:i w:val="0"/>
          <w:iCs w:val="0"/>
          <w:caps w:val="0"/>
          <w:color w:val="auto"/>
          <w:spacing w:val="0"/>
          <w:sz w:val="32"/>
          <w:szCs w:val="32"/>
          <w:u w:val="none"/>
          <w:shd w:val="clear" w:fill="FFFFFF"/>
        </w:rPr>
        <w:fldChar w:fldCharType="end"/>
      </w:r>
    </w:p>
    <w:p>
      <w:pPr>
        <w:pStyle w:val="11"/>
        <w:widowControl w:val="0"/>
        <w:numPr>
          <w:ilvl w:val="0"/>
          <w:numId w:val="0"/>
        </w:numPr>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和学校规章制度；</w:t>
      </w:r>
    </w:p>
    <w:p>
      <w:pPr>
        <w:pStyle w:val="11"/>
        <w:widowControl w:val="0"/>
        <w:numPr>
          <w:ilvl w:val="0"/>
          <w:numId w:val="0"/>
        </w:numPr>
        <w:ind w:left="638" w:leftChars="304" w:firstLine="0" w:firstLineChars="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组织教育教学、科学研究活动，保证教育教学质量；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负责学校日常管理工作；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坚持依法办学，遵守学校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"http://www.so.com/s?q=%E7%AB%A0%E7%A8%8B&amp;ie=utf-8&amp;src=internal_wenda_recommend_textn"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章程</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，维护学校利益。</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5、</w:t>
      </w:r>
      <w:r>
        <w:rPr>
          <w:rFonts w:hint="eastAsia" w:ascii="仿宋" w:hAnsi="仿宋" w:eastAsia="仿宋" w:cs="仿宋"/>
          <w:i w:val="0"/>
          <w:iCs w:val="0"/>
          <w:caps w:val="0"/>
          <w:color w:val="auto"/>
          <w:spacing w:val="0"/>
          <w:sz w:val="32"/>
          <w:szCs w:val="32"/>
          <w:shd w:val="clear" w:fill="FFFFFF"/>
        </w:rPr>
        <w:t>合理配置学校“人、财、物、信息”资源，有效行</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使学校</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"http://www.so.com/s?q=%E9%87%8D%E5%A4%A7%E4%BA%8B%E9%A1%B9&amp;ie=utf-8&amp;src=internal_wenda_recommend_textn"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重大事项</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和重大改革措施的决策权。</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及时向</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"http://www.so.com/s?q=%E4%B8%8A%E7%BA%A7&amp;ie=utf-8&amp;src=internal_wenda_recommend_textn"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上级</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"http://www.so.com/s?q=%E6%95%99%E8%82%B2%E8%A1%8C%E6%94%BF%E9%83%A8%E9%97%A8&amp;ie=utf-8&amp;src=internal_wenda_recommend_textn"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教育行政部门</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和学校决策机构汇报学校</w:t>
      </w:r>
    </w:p>
    <w:p>
      <w:pPr>
        <w:pStyle w:val="11"/>
        <w:widowControl w:val="0"/>
        <w:numPr>
          <w:ilvl w:val="0"/>
          <w:numId w:val="0"/>
        </w:numPr>
        <w:ind w:left="640" w:hanging="640" w:hangingChars="20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工作。</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维护教职工利益，保障教职工合法权益。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8、</w:t>
      </w:r>
      <w:r>
        <w:rPr>
          <w:rFonts w:hint="eastAsia" w:ascii="仿宋" w:hAnsi="仿宋" w:eastAsia="仿宋" w:cs="仿宋"/>
          <w:i w:val="0"/>
          <w:iCs w:val="0"/>
          <w:caps w:val="0"/>
          <w:color w:val="auto"/>
          <w:spacing w:val="0"/>
          <w:sz w:val="32"/>
          <w:szCs w:val="32"/>
          <w:shd w:val="clear" w:fill="FFFFFF"/>
        </w:rPr>
        <w:t>尊重教职工的</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"http://www.so.com/s?q=%E4%B8%BB%E4%BA%BA%E7%BF%81&amp;ie=utf-8&amp;src=internal_wenda_recommend_textn"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主人翁</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"http://www.so.com/s?q=%E5%9C%B0%E4%BD%8D&amp;ie=utf-8&amp;src=internal_wenda_recommend_textn"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地位</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和</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"http://www.so.com/s?q=%E6%B0%91%E4%B8%BB%E7%AE%A1%E7%90%86&amp;ie=utf-8&amp;src=internal_wenda_recommend_textn"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民主管理</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"http://www.so.com/s?q=%E6%B0%91%E4%B8%BB%E7%9B%91%E7%9D%A3&amp;ie=utf-8&amp;src=internal_wenda_recommend_textn"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民主监督</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的</w:t>
      </w:r>
    </w:p>
    <w:p>
      <w:pPr>
        <w:numPr>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"http://www.so.com/s?q=%E6%9D%83%E5%88%A9&amp;ie=utf-8&amp;src=internal_wenda_recommend_textn"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权利</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，团结和依靠教职工</w:t>
      </w:r>
      <w:r>
        <w:rPr>
          <w:rFonts w:hint="eastAsia" w:ascii="仿宋" w:hAnsi="仿宋" w:eastAsia="仿宋" w:cs="仿宋"/>
          <w:i w:val="0"/>
          <w:iCs w:val="0"/>
          <w:caps w:val="0"/>
          <w:color w:val="auto"/>
          <w:spacing w:val="0"/>
          <w:sz w:val="32"/>
          <w:szCs w:val="32"/>
          <w:u w:val="none"/>
          <w:shd w:val="clear" w:fill="FFFFFF"/>
        </w:rPr>
        <w:fldChar w:fldCharType="begin"/>
      </w:r>
      <w:r>
        <w:rPr>
          <w:rFonts w:hint="eastAsia" w:ascii="仿宋" w:hAnsi="仿宋" w:eastAsia="仿宋" w:cs="仿宋"/>
          <w:i w:val="0"/>
          <w:iCs w:val="0"/>
          <w:caps w:val="0"/>
          <w:color w:val="auto"/>
          <w:spacing w:val="0"/>
          <w:sz w:val="32"/>
          <w:szCs w:val="32"/>
          <w:u w:val="none"/>
          <w:shd w:val="clear" w:fill="FFFFFF"/>
        </w:rPr>
        <w:instrText xml:space="preserve"> HYPERLINK "http://www.so.com/s?q=%E5%8A%9E%E5%A5%BD&amp;ie=utf-8&amp;src=internal_wenda_recommend_textn" \t "https://wenda.so.com/q/_blank" </w:instrText>
      </w:r>
      <w:r>
        <w:rPr>
          <w:rFonts w:hint="eastAsia" w:ascii="仿宋" w:hAnsi="仿宋" w:eastAsia="仿宋" w:cs="仿宋"/>
          <w:i w:val="0"/>
          <w:iCs w:val="0"/>
          <w:caps w:val="0"/>
          <w:color w:val="auto"/>
          <w:spacing w:val="0"/>
          <w:sz w:val="32"/>
          <w:szCs w:val="32"/>
          <w:u w:val="none"/>
          <w:shd w:val="clear" w:fill="FFFFFF"/>
        </w:rPr>
        <w:fldChar w:fldCharType="separate"/>
      </w:r>
      <w:r>
        <w:rPr>
          <w:rStyle w:val="9"/>
          <w:rFonts w:hint="eastAsia" w:ascii="仿宋" w:hAnsi="仿宋" w:eastAsia="仿宋" w:cs="仿宋"/>
          <w:i w:val="0"/>
          <w:iCs w:val="0"/>
          <w:caps w:val="0"/>
          <w:color w:val="auto"/>
          <w:spacing w:val="0"/>
          <w:sz w:val="32"/>
          <w:szCs w:val="32"/>
          <w:u w:val="none"/>
          <w:shd w:val="clear" w:fill="FFFFFF"/>
        </w:rPr>
        <w:t>办好</w:t>
      </w:r>
      <w:r>
        <w:rPr>
          <w:rFonts w:hint="eastAsia" w:ascii="仿宋" w:hAnsi="仿宋" w:eastAsia="仿宋" w:cs="仿宋"/>
          <w:i w:val="0"/>
          <w:iCs w:val="0"/>
          <w:caps w:val="0"/>
          <w:color w:val="auto"/>
          <w:spacing w:val="0"/>
          <w:sz w:val="32"/>
          <w:szCs w:val="32"/>
          <w:u w:val="none"/>
          <w:shd w:val="clear" w:fill="FFFFFF"/>
        </w:rPr>
        <w:fldChar w:fldCharType="end"/>
      </w:r>
      <w:r>
        <w:rPr>
          <w:rFonts w:hint="eastAsia" w:ascii="仿宋" w:hAnsi="仿宋" w:eastAsia="仿宋" w:cs="仿宋"/>
          <w:i w:val="0"/>
          <w:iCs w:val="0"/>
          <w:caps w:val="0"/>
          <w:color w:val="auto"/>
          <w:spacing w:val="0"/>
          <w:sz w:val="32"/>
          <w:szCs w:val="32"/>
          <w:shd w:val="clear" w:fill="FFFFFF"/>
        </w:rPr>
        <w:t>学校。</w:t>
      </w:r>
    </w:p>
    <w:p>
      <w:pPr>
        <w:numPr>
          <w:ilvl w:val="0"/>
          <w:numId w:val="25"/>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学校总务办公室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附件：大同市浑源县吴城乡中心学校-2021年度部门决算公开报表.xls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622.89万元，上年度总收入为567.59万元，增减9.74 %。其中：一般公共预算财政拨款本年度收入为621.85万元，上年度收入为567.16万元，增减9.64 %；政府性基金预算财政拨款本年度收入为0万元，上年度收入为0万元，增减0 %；事业收入本年度收入为1.04万元，上年度收入为0.43万元，增减141.86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622.89万元，上年度总支出为567.61万元，增减9.74%。其中：基本支出本年度支出为611.39万元，上年度支出为558.28万元，增减9.51 %；项目支出本年度支出为11.5万元，上年度支出为9.32万元，增减23.31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我单位产权房屋面积为3000平方米，价值33万元。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我</w:t>
      </w:r>
      <w:r>
        <w:rPr>
          <w:rFonts w:hint="eastAsia" w:ascii="仿宋" w:hAnsi="仿宋" w:eastAsia="仿宋" w:cs="仿宋"/>
          <w:sz w:val="32"/>
          <w:szCs w:val="32"/>
          <w:lang w:eastAsia="zh-CN"/>
        </w:rPr>
        <w:t>单位</w:t>
      </w:r>
      <w:r>
        <w:rPr>
          <w:rFonts w:hint="eastAsia" w:ascii="仿宋" w:hAnsi="仿宋" w:eastAsia="仿宋" w:cs="仿宋"/>
          <w:sz w:val="32"/>
          <w:szCs w:val="32"/>
        </w:rPr>
        <w:t>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10.68</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92</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2021年城乡义务教育补助经费（寄宿生生活补助）</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0.23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0.23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3" w:firstLineChars="200"/>
        <w:rPr>
          <w:rFonts w:hint="eastAsia" w:ascii="仿宋" w:hAnsi="仿宋" w:eastAsia="仿宋" w:cs="仿宋"/>
          <w:sz w:val="32"/>
          <w:szCs w:val="32"/>
        </w:rPr>
      </w:pPr>
      <w:r>
        <w:rPr>
          <w:rFonts w:hint="eastAsia" w:ascii="仿宋" w:hAnsi="仿宋" w:eastAsia="仿宋" w:cs="仿宋"/>
          <w:b/>
          <w:bCs/>
          <w:sz w:val="32"/>
          <w:szCs w:val="32"/>
        </w:rPr>
        <w:t>义务教育阶段中小学班主任津贴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93</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3"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sz w:val="32"/>
          <w:szCs w:val="32"/>
        </w:rPr>
        <w:t>2021年城乡义务教育补助经费中央及省级资金（乡村教师生活补贴）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92</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10.15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10.15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浑源县吴城乡中心学校</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p>
      <w:pPr>
        <w:ind w:firstLine="5670" w:firstLineChars="2700"/>
        <w:rPr>
          <w:color w:val="000000" w:themeColor="text1"/>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BCEFD"/>
    <w:multiLevelType w:val="singleLevel"/>
    <w:tmpl w:val="823BCEFD"/>
    <w:lvl w:ilvl="0" w:tentative="0">
      <w:start w:val="1"/>
      <w:numFmt w:val="chineseCounting"/>
      <w:suff w:val="nothing"/>
      <w:lvlText w:val="%1、"/>
      <w:lvlJc w:val="left"/>
      <w:rPr>
        <w:rFonts w:hint="eastAsia"/>
      </w:rPr>
    </w:lvl>
  </w:abstractNum>
  <w:abstractNum w:abstractNumId="1">
    <w:nsid w:val="85445807"/>
    <w:multiLevelType w:val="singleLevel"/>
    <w:tmpl w:val="85445807"/>
    <w:lvl w:ilvl="0" w:tentative="0">
      <w:start w:val="1"/>
      <w:numFmt w:val="chineseCounting"/>
      <w:suff w:val="nothing"/>
      <w:lvlText w:val="%1、"/>
      <w:lvlJc w:val="left"/>
      <w:rPr>
        <w:rFonts w:hint="eastAsia"/>
      </w:rPr>
    </w:lvl>
  </w:abstractNum>
  <w:abstractNum w:abstractNumId="2">
    <w:nsid w:val="8F374E26"/>
    <w:multiLevelType w:val="singleLevel"/>
    <w:tmpl w:val="8F374E26"/>
    <w:lvl w:ilvl="0" w:tentative="0">
      <w:start w:val="1"/>
      <w:numFmt w:val="chineseCounting"/>
      <w:suff w:val="nothing"/>
      <w:lvlText w:val="%1、"/>
      <w:lvlJc w:val="left"/>
      <w:rPr>
        <w:rFonts w:hint="eastAsia"/>
      </w:rPr>
    </w:lvl>
  </w:abstractNum>
  <w:abstractNum w:abstractNumId="3">
    <w:nsid w:val="918AAEFA"/>
    <w:multiLevelType w:val="singleLevel"/>
    <w:tmpl w:val="918AAEFA"/>
    <w:lvl w:ilvl="0" w:tentative="0">
      <w:start w:val="1"/>
      <w:numFmt w:val="chineseCounting"/>
      <w:suff w:val="nothing"/>
      <w:lvlText w:val="%1、"/>
      <w:lvlJc w:val="left"/>
      <w:rPr>
        <w:rFonts w:hint="eastAsia"/>
      </w:rPr>
    </w:lvl>
  </w:abstractNum>
  <w:abstractNum w:abstractNumId="4">
    <w:nsid w:val="A90A2D2D"/>
    <w:multiLevelType w:val="singleLevel"/>
    <w:tmpl w:val="A90A2D2D"/>
    <w:lvl w:ilvl="0" w:tentative="0">
      <w:start w:val="1"/>
      <w:numFmt w:val="chineseCounting"/>
      <w:suff w:val="nothing"/>
      <w:lvlText w:val="%1、"/>
      <w:lvlJc w:val="left"/>
      <w:rPr>
        <w:rFonts w:hint="eastAsia"/>
      </w:rPr>
    </w:lvl>
  </w:abstractNum>
  <w:abstractNum w:abstractNumId="5">
    <w:nsid w:val="B7538DE1"/>
    <w:multiLevelType w:val="singleLevel"/>
    <w:tmpl w:val="B7538DE1"/>
    <w:lvl w:ilvl="0" w:tentative="0">
      <w:start w:val="1"/>
      <w:numFmt w:val="chineseCounting"/>
      <w:suff w:val="nothing"/>
      <w:lvlText w:val="%1、"/>
      <w:lvlJc w:val="left"/>
      <w:rPr>
        <w:rFonts w:hint="eastAsia"/>
      </w:rPr>
    </w:lvl>
  </w:abstractNum>
  <w:abstractNum w:abstractNumId="6">
    <w:nsid w:val="B9D31D81"/>
    <w:multiLevelType w:val="singleLevel"/>
    <w:tmpl w:val="B9D31D81"/>
    <w:lvl w:ilvl="0" w:tentative="0">
      <w:start w:val="1"/>
      <w:numFmt w:val="chineseCounting"/>
      <w:suff w:val="nothing"/>
      <w:lvlText w:val="%1、"/>
      <w:lvlJc w:val="left"/>
      <w:rPr>
        <w:rFonts w:hint="eastAsia"/>
      </w:rPr>
    </w:lvl>
  </w:abstractNum>
  <w:abstractNum w:abstractNumId="7">
    <w:nsid w:val="C093F8C2"/>
    <w:multiLevelType w:val="singleLevel"/>
    <w:tmpl w:val="C093F8C2"/>
    <w:lvl w:ilvl="0" w:tentative="0">
      <w:start w:val="1"/>
      <w:numFmt w:val="chineseCounting"/>
      <w:suff w:val="nothing"/>
      <w:lvlText w:val="%1、"/>
      <w:lvlJc w:val="left"/>
      <w:rPr>
        <w:rFonts w:hint="eastAsia"/>
      </w:rPr>
    </w:lvl>
  </w:abstractNum>
  <w:abstractNum w:abstractNumId="8">
    <w:nsid w:val="D1013A17"/>
    <w:multiLevelType w:val="singleLevel"/>
    <w:tmpl w:val="D1013A17"/>
    <w:lvl w:ilvl="0" w:tentative="0">
      <w:start w:val="1"/>
      <w:numFmt w:val="chineseCounting"/>
      <w:suff w:val="nothing"/>
      <w:lvlText w:val="%1、"/>
      <w:lvlJc w:val="left"/>
      <w:rPr>
        <w:rFonts w:hint="eastAsia"/>
      </w:rPr>
    </w:lvl>
  </w:abstractNum>
  <w:abstractNum w:abstractNumId="9">
    <w:nsid w:val="D66CC164"/>
    <w:multiLevelType w:val="singleLevel"/>
    <w:tmpl w:val="D66CC164"/>
    <w:lvl w:ilvl="0" w:tentative="0">
      <w:start w:val="1"/>
      <w:numFmt w:val="chineseCounting"/>
      <w:suff w:val="nothing"/>
      <w:lvlText w:val="%1、"/>
      <w:lvlJc w:val="left"/>
      <w:rPr>
        <w:rFonts w:hint="eastAsia"/>
      </w:rPr>
    </w:lvl>
  </w:abstractNum>
  <w:abstractNum w:abstractNumId="10">
    <w:nsid w:val="DA04CE53"/>
    <w:multiLevelType w:val="singleLevel"/>
    <w:tmpl w:val="DA04CE53"/>
    <w:lvl w:ilvl="0" w:tentative="0">
      <w:start w:val="1"/>
      <w:numFmt w:val="chineseCounting"/>
      <w:suff w:val="nothing"/>
      <w:lvlText w:val="%1、"/>
      <w:lvlJc w:val="left"/>
      <w:pPr>
        <w:ind w:left="210"/>
      </w:pPr>
      <w:rPr>
        <w:rFonts w:hint="eastAsia"/>
      </w:rPr>
    </w:lvl>
  </w:abstractNum>
  <w:abstractNum w:abstractNumId="11">
    <w:nsid w:val="E4B494EE"/>
    <w:multiLevelType w:val="singleLevel"/>
    <w:tmpl w:val="E4B494EE"/>
    <w:lvl w:ilvl="0" w:tentative="0">
      <w:start w:val="1"/>
      <w:numFmt w:val="decimal"/>
      <w:suff w:val="nothing"/>
      <w:lvlText w:val="%1、"/>
      <w:lvlJc w:val="left"/>
    </w:lvl>
  </w:abstractNum>
  <w:abstractNum w:abstractNumId="12">
    <w:nsid w:val="E7077F9C"/>
    <w:multiLevelType w:val="singleLevel"/>
    <w:tmpl w:val="E7077F9C"/>
    <w:lvl w:ilvl="0" w:tentative="0">
      <w:start w:val="1"/>
      <w:numFmt w:val="chineseCounting"/>
      <w:suff w:val="nothing"/>
      <w:lvlText w:val="%1、"/>
      <w:lvlJc w:val="left"/>
      <w:rPr>
        <w:rFonts w:hint="eastAsia"/>
      </w:rPr>
    </w:lvl>
  </w:abstractNum>
  <w:abstractNum w:abstractNumId="13">
    <w:nsid w:val="EDE8ACEF"/>
    <w:multiLevelType w:val="singleLevel"/>
    <w:tmpl w:val="EDE8ACEF"/>
    <w:lvl w:ilvl="0" w:tentative="0">
      <w:start w:val="1"/>
      <w:numFmt w:val="chineseCounting"/>
      <w:suff w:val="nothing"/>
      <w:lvlText w:val="%1、"/>
      <w:lvlJc w:val="left"/>
      <w:rPr>
        <w:rFonts w:hint="eastAsia"/>
      </w:rPr>
    </w:lvl>
  </w:abstractNum>
  <w:abstractNum w:abstractNumId="14">
    <w:nsid w:val="FD8BB4FF"/>
    <w:multiLevelType w:val="singleLevel"/>
    <w:tmpl w:val="FD8BB4FF"/>
    <w:lvl w:ilvl="0" w:tentative="0">
      <w:start w:val="1"/>
      <w:numFmt w:val="chineseCounting"/>
      <w:suff w:val="nothing"/>
      <w:lvlText w:val="%1、"/>
      <w:lvlJc w:val="left"/>
      <w:rPr>
        <w:rFonts w:hint="eastAsia"/>
      </w:rPr>
    </w:lvl>
  </w:abstractNum>
  <w:abstractNum w:abstractNumId="15">
    <w:nsid w:val="20FA4645"/>
    <w:multiLevelType w:val="singleLevel"/>
    <w:tmpl w:val="20FA4645"/>
    <w:lvl w:ilvl="0" w:tentative="0">
      <w:start w:val="1"/>
      <w:numFmt w:val="chineseCounting"/>
      <w:suff w:val="nothing"/>
      <w:lvlText w:val="%1、"/>
      <w:lvlJc w:val="left"/>
      <w:rPr>
        <w:rFonts w:hint="eastAsia"/>
      </w:rPr>
    </w:lvl>
  </w:abstractNum>
  <w:abstractNum w:abstractNumId="16">
    <w:nsid w:val="21125057"/>
    <w:multiLevelType w:val="singleLevel"/>
    <w:tmpl w:val="21125057"/>
    <w:lvl w:ilvl="0" w:tentative="0">
      <w:start w:val="1"/>
      <w:numFmt w:val="chineseCounting"/>
      <w:suff w:val="nothing"/>
      <w:lvlText w:val="%1、"/>
      <w:lvlJc w:val="left"/>
      <w:rPr>
        <w:rFonts w:hint="eastAsia"/>
      </w:rPr>
    </w:lvl>
  </w:abstractNum>
  <w:abstractNum w:abstractNumId="17">
    <w:nsid w:val="2568F71A"/>
    <w:multiLevelType w:val="singleLevel"/>
    <w:tmpl w:val="2568F71A"/>
    <w:lvl w:ilvl="0" w:tentative="0">
      <w:start w:val="1"/>
      <w:numFmt w:val="chineseCounting"/>
      <w:suff w:val="nothing"/>
      <w:lvlText w:val="%1、"/>
      <w:lvlJc w:val="left"/>
      <w:rPr>
        <w:rFonts w:hint="eastAsia"/>
      </w:rPr>
    </w:lvl>
  </w:abstractNum>
  <w:abstractNum w:abstractNumId="18">
    <w:nsid w:val="25D6E4DD"/>
    <w:multiLevelType w:val="singleLevel"/>
    <w:tmpl w:val="25D6E4DD"/>
    <w:lvl w:ilvl="0" w:tentative="0">
      <w:start w:val="1"/>
      <w:numFmt w:val="chineseCounting"/>
      <w:suff w:val="nothing"/>
      <w:lvlText w:val="%1、"/>
      <w:lvlJc w:val="left"/>
      <w:rPr>
        <w:rFonts w:hint="eastAsia"/>
      </w:rPr>
    </w:lvl>
  </w:abstractNum>
  <w:abstractNum w:abstractNumId="19">
    <w:nsid w:val="2D64A8B9"/>
    <w:multiLevelType w:val="singleLevel"/>
    <w:tmpl w:val="2D64A8B9"/>
    <w:lvl w:ilvl="0" w:tentative="0">
      <w:start w:val="1"/>
      <w:numFmt w:val="chineseCounting"/>
      <w:suff w:val="nothing"/>
      <w:lvlText w:val="%1、"/>
      <w:lvlJc w:val="left"/>
      <w:rPr>
        <w:rFonts w:hint="eastAsia"/>
      </w:rPr>
    </w:lvl>
  </w:abstractNum>
  <w:abstractNum w:abstractNumId="20">
    <w:nsid w:val="411ECBA4"/>
    <w:multiLevelType w:val="singleLevel"/>
    <w:tmpl w:val="411ECBA4"/>
    <w:lvl w:ilvl="0" w:tentative="0">
      <w:start w:val="1"/>
      <w:numFmt w:val="chineseCounting"/>
      <w:suff w:val="nothing"/>
      <w:lvlText w:val="%1、"/>
      <w:lvlJc w:val="left"/>
      <w:rPr>
        <w:rFonts w:hint="eastAsia"/>
      </w:rPr>
    </w:lvl>
  </w:abstractNum>
  <w:abstractNum w:abstractNumId="21">
    <w:nsid w:val="43753C99"/>
    <w:multiLevelType w:val="singleLevel"/>
    <w:tmpl w:val="43753C99"/>
    <w:lvl w:ilvl="0" w:tentative="0">
      <w:start w:val="1"/>
      <w:numFmt w:val="chineseCounting"/>
      <w:suff w:val="nothing"/>
      <w:lvlText w:val="%1、"/>
      <w:lvlJc w:val="left"/>
      <w:rPr>
        <w:rFonts w:hint="eastAsia"/>
      </w:rPr>
    </w:lvl>
  </w:abstractNum>
  <w:abstractNum w:abstractNumId="22">
    <w:nsid w:val="48AB03D1"/>
    <w:multiLevelType w:val="singleLevel"/>
    <w:tmpl w:val="48AB03D1"/>
    <w:lvl w:ilvl="0" w:tentative="0">
      <w:start w:val="1"/>
      <w:numFmt w:val="chineseCounting"/>
      <w:suff w:val="nothing"/>
      <w:lvlText w:val="%1、"/>
      <w:lvlJc w:val="left"/>
      <w:rPr>
        <w:rFonts w:hint="eastAsia"/>
      </w:rPr>
    </w:lvl>
  </w:abstractNum>
  <w:abstractNum w:abstractNumId="23">
    <w:nsid w:val="5BFC2DD5"/>
    <w:multiLevelType w:val="singleLevel"/>
    <w:tmpl w:val="5BFC2DD5"/>
    <w:lvl w:ilvl="0" w:tentative="0">
      <w:start w:val="1"/>
      <w:numFmt w:val="chineseCounting"/>
      <w:suff w:val="nothing"/>
      <w:lvlText w:val="%1、"/>
      <w:lvlJc w:val="left"/>
      <w:rPr>
        <w:rFonts w:hint="eastAsia"/>
      </w:rPr>
    </w:lvl>
  </w:abstractNum>
  <w:abstractNum w:abstractNumId="24">
    <w:nsid w:val="77D94B73"/>
    <w:multiLevelType w:val="singleLevel"/>
    <w:tmpl w:val="77D94B73"/>
    <w:lvl w:ilvl="0" w:tentative="0">
      <w:start w:val="1"/>
      <w:numFmt w:val="decimal"/>
      <w:suff w:val="nothing"/>
      <w:lvlText w:val="%1、"/>
      <w:lvlJc w:val="left"/>
    </w:lvl>
  </w:abstractNum>
  <w:num w:numId="1">
    <w:abstractNumId w:val="10"/>
  </w:num>
  <w:num w:numId="2">
    <w:abstractNumId w:val="11"/>
  </w:num>
  <w:num w:numId="3">
    <w:abstractNumId w:val="19"/>
  </w:num>
  <w:num w:numId="4">
    <w:abstractNumId w:val="24"/>
  </w:num>
  <w:num w:numId="5">
    <w:abstractNumId w:val="14"/>
  </w:num>
  <w:num w:numId="6">
    <w:abstractNumId w:val="0"/>
  </w:num>
  <w:num w:numId="7">
    <w:abstractNumId w:val="22"/>
  </w:num>
  <w:num w:numId="8">
    <w:abstractNumId w:val="7"/>
  </w:num>
  <w:num w:numId="9">
    <w:abstractNumId w:val="13"/>
  </w:num>
  <w:num w:numId="10">
    <w:abstractNumId w:val="8"/>
  </w:num>
  <w:num w:numId="11">
    <w:abstractNumId w:val="5"/>
  </w:num>
  <w:num w:numId="12">
    <w:abstractNumId w:val="18"/>
  </w:num>
  <w:num w:numId="13">
    <w:abstractNumId w:val="2"/>
  </w:num>
  <w:num w:numId="14">
    <w:abstractNumId w:val="1"/>
  </w:num>
  <w:num w:numId="15">
    <w:abstractNumId w:val="9"/>
  </w:num>
  <w:num w:numId="16">
    <w:abstractNumId w:val="15"/>
  </w:num>
  <w:num w:numId="17">
    <w:abstractNumId w:val="21"/>
  </w:num>
  <w:num w:numId="18">
    <w:abstractNumId w:val="6"/>
  </w:num>
  <w:num w:numId="19">
    <w:abstractNumId w:val="3"/>
  </w:num>
  <w:num w:numId="20">
    <w:abstractNumId w:val="20"/>
  </w:num>
  <w:num w:numId="21">
    <w:abstractNumId w:val="4"/>
  </w:num>
  <w:num w:numId="22">
    <w:abstractNumId w:val="17"/>
  </w:num>
  <w:num w:numId="23">
    <w:abstractNumId w:val="16"/>
  </w:num>
  <w:num w:numId="24">
    <w:abstractNumId w:val="1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2NmY5NDI2YTY5ZmY3ZTE1YjIxNmU4MGU3MmFhMjI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013D3A60"/>
    <w:rsid w:val="040F2C03"/>
    <w:rsid w:val="115D3028"/>
    <w:rsid w:val="123A2F66"/>
    <w:rsid w:val="18453ABF"/>
    <w:rsid w:val="1CEE6C3F"/>
    <w:rsid w:val="299D6DB3"/>
    <w:rsid w:val="31ED7AD3"/>
    <w:rsid w:val="38D75397"/>
    <w:rsid w:val="3B3960CA"/>
    <w:rsid w:val="418F62AF"/>
    <w:rsid w:val="47B025C2"/>
    <w:rsid w:val="4C2A3D33"/>
    <w:rsid w:val="4C63312E"/>
    <w:rsid w:val="4D0B2451"/>
    <w:rsid w:val="4D1C3BBE"/>
    <w:rsid w:val="56A369DE"/>
    <w:rsid w:val="5E826883"/>
    <w:rsid w:val="70624A53"/>
    <w:rsid w:val="739F7EE5"/>
    <w:rsid w:val="76226D05"/>
    <w:rsid w:val="798D38A1"/>
    <w:rsid w:val="7C243573"/>
    <w:rsid w:val="7C363778"/>
    <w:rsid w:val="7C7C0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10"/>
    <w:semiHidden/>
    <w:unhideWhenUsed/>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批注框文本 Char"/>
    <w:basedOn w:val="8"/>
    <w:link w:val="3"/>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180</Pages>
  <Words>64349</Words>
  <Characters>69097</Characters>
  <Lines>2715</Lines>
  <Paragraphs>764</Paragraphs>
  <TotalTime>1</TotalTime>
  <ScaleCrop>false</ScaleCrop>
  <LinksUpToDate>false</LinksUpToDate>
  <CharactersWithSpaces>72120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海纳百川</cp:lastModifiedBy>
  <cp:lastPrinted>2021-08-19T03:05:00Z</cp:lastPrinted>
  <dcterms:modified xsi:type="dcterms:W3CDTF">2022-07-14T10:07:12Z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54E05DEA0A5B4EA5A9EF5D0CD29DD7F8</vt:lpwstr>
  </property>
</Properties>
</file>